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5C0" w:rsidRDefault="00126955" w:rsidP="00126955">
      <w:pPr>
        <w:spacing w:after="0" w:line="240" w:lineRule="auto"/>
      </w:pPr>
      <w:r>
        <w:rPr>
          <w:noProof/>
        </w:rPr>
        <w:drawing>
          <wp:inline distT="0" distB="0" distL="0" distR="0" wp14:anchorId="4C4C7C38" wp14:editId="2D4653A1">
            <wp:extent cx="4191000" cy="744387"/>
            <wp:effectExtent l="0" t="0" r="0" b="0"/>
            <wp:docPr id="8" name="Picture 7"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logo.png"/>
                    <pic:cNvPicPr>
                      <a:picLocks noChangeAspect="1"/>
                    </pic:cNvPicPr>
                  </pic:nvPicPr>
                  <pic:blipFill>
                    <a:blip r:embed="rId5" cstate="print"/>
                    <a:stretch>
                      <a:fillRect/>
                    </a:stretch>
                  </pic:blipFill>
                  <pic:spPr>
                    <a:xfrm>
                      <a:off x="0" y="0"/>
                      <a:ext cx="4191000" cy="744387"/>
                    </a:xfrm>
                    <a:prstGeom prst="rect">
                      <a:avLst/>
                    </a:prstGeom>
                    <a:solidFill>
                      <a:schemeClr val="tx2">
                        <a:lumMod val="50000"/>
                      </a:schemeClr>
                    </a:solidFill>
                  </pic:spPr>
                </pic:pic>
              </a:graphicData>
            </a:graphic>
          </wp:inline>
        </w:drawing>
      </w:r>
    </w:p>
    <w:p w:rsidR="00126955" w:rsidRDefault="00126955" w:rsidP="00126955">
      <w:pPr>
        <w:spacing w:after="0" w:line="240" w:lineRule="auto"/>
      </w:pPr>
    </w:p>
    <w:p w:rsidR="00126955" w:rsidRPr="00126955" w:rsidRDefault="00296D04" w:rsidP="00126955">
      <w:pPr>
        <w:spacing w:after="0" w:line="240" w:lineRule="auto"/>
        <w:rPr>
          <w:b/>
          <w:sz w:val="36"/>
          <w:szCs w:val="36"/>
        </w:rPr>
      </w:pPr>
      <w:r w:rsidRPr="00C65F2B">
        <w:rPr>
          <w:b/>
          <w:sz w:val="32"/>
          <w:szCs w:val="32"/>
        </w:rPr>
        <w:t>The Human Capital Advantage: A Curriculum for Early Stage Ventures</w:t>
      </w:r>
    </w:p>
    <w:p w:rsidR="00126955" w:rsidRPr="00126955" w:rsidRDefault="00B9053F" w:rsidP="00126955">
      <w:pPr>
        <w:spacing w:after="0" w:line="240" w:lineRule="auto"/>
        <w:rPr>
          <w:sz w:val="28"/>
          <w:szCs w:val="28"/>
        </w:rPr>
      </w:pPr>
      <w:r>
        <w:rPr>
          <w:b/>
          <w:sz w:val="28"/>
          <w:szCs w:val="28"/>
        </w:rPr>
        <w:t>Module Three</w:t>
      </w:r>
      <w:r w:rsidR="00126955">
        <w:rPr>
          <w:b/>
          <w:sz w:val="28"/>
          <w:szCs w:val="28"/>
        </w:rPr>
        <w:t xml:space="preserve">: </w:t>
      </w:r>
      <w:r w:rsidR="00CC48AD">
        <w:rPr>
          <w:b/>
          <w:sz w:val="28"/>
          <w:szCs w:val="28"/>
        </w:rPr>
        <w:t xml:space="preserve">Compensation, Benefits, </w:t>
      </w:r>
      <w:r w:rsidR="00825C1C">
        <w:rPr>
          <w:b/>
          <w:sz w:val="28"/>
          <w:szCs w:val="28"/>
        </w:rPr>
        <w:t>Profit Sharing/</w:t>
      </w:r>
      <w:r w:rsidR="00CC48AD">
        <w:rPr>
          <w:b/>
          <w:sz w:val="28"/>
          <w:szCs w:val="28"/>
        </w:rPr>
        <w:t>Sharing Equity Broadly</w:t>
      </w:r>
    </w:p>
    <w:p w:rsidR="00126955" w:rsidRDefault="00126955" w:rsidP="00126955">
      <w:pPr>
        <w:spacing w:after="0" w:line="240" w:lineRule="auto"/>
      </w:pPr>
    </w:p>
    <w:p w:rsidR="00B32BD4" w:rsidRPr="00670E99" w:rsidRDefault="00B32BD4" w:rsidP="00126955">
      <w:pPr>
        <w:spacing w:after="0" w:line="240" w:lineRule="auto"/>
        <w:rPr>
          <w:b/>
        </w:rPr>
      </w:pPr>
      <w:r w:rsidRPr="00670E99">
        <w:rPr>
          <w:b/>
        </w:rPr>
        <w:t>Introduction/Value Proposition</w:t>
      </w:r>
    </w:p>
    <w:p w:rsidR="00B32BD4" w:rsidRDefault="006C0796" w:rsidP="00126955">
      <w:pPr>
        <w:spacing w:after="0" w:line="240" w:lineRule="auto"/>
      </w:pPr>
      <w:r>
        <w:t xml:space="preserve">Investing in your team </w:t>
      </w:r>
      <w:r w:rsidR="00F31221">
        <w:t xml:space="preserve">through strong benefits and initiatives to promote health and wellness </w:t>
      </w:r>
      <w:r>
        <w:t xml:space="preserve">makes </w:t>
      </w:r>
      <w:r w:rsidR="005E3A41">
        <w:t>employees</w:t>
      </w:r>
      <w:r>
        <w:t xml:space="preserve"> feel valued and increases </w:t>
      </w:r>
      <w:r w:rsidR="00F31221">
        <w:t xml:space="preserve">morale, productivity and </w:t>
      </w:r>
      <w:r>
        <w:t>retention</w:t>
      </w:r>
      <w:r w:rsidR="00F31221">
        <w:t xml:space="preserve">. </w:t>
      </w:r>
      <w:r w:rsidR="00B32B6D">
        <w:t>Sharing equity broadly where possible can also increase company performance</w:t>
      </w:r>
      <w:r w:rsidR="00D17C99">
        <w:t>, and there are useful guidelines to allocating equity fairly in a startup</w:t>
      </w:r>
      <w:r w:rsidR="00B32B6D">
        <w:t>.</w:t>
      </w:r>
      <w:r w:rsidR="00247EDF">
        <w:t xml:space="preserve"> </w:t>
      </w:r>
    </w:p>
    <w:p w:rsidR="00FC56C8" w:rsidRDefault="00FC56C8" w:rsidP="00126955">
      <w:pPr>
        <w:spacing w:after="0" w:line="240" w:lineRule="auto"/>
      </w:pPr>
    </w:p>
    <w:p w:rsidR="00B32BD4" w:rsidRPr="00670E99" w:rsidRDefault="00B32BD4" w:rsidP="00126955">
      <w:pPr>
        <w:spacing w:after="0" w:line="240" w:lineRule="auto"/>
        <w:rPr>
          <w:b/>
        </w:rPr>
      </w:pPr>
      <w:r w:rsidRPr="00670E99">
        <w:rPr>
          <w:b/>
        </w:rPr>
        <w:t>Goals/Desired Outcomes</w:t>
      </w:r>
    </w:p>
    <w:p w:rsidR="00B32BD4" w:rsidRDefault="00670E99" w:rsidP="00126955">
      <w:pPr>
        <w:spacing w:after="0" w:line="240" w:lineRule="auto"/>
      </w:pPr>
      <w:r>
        <w:t>After this module, entrepreneurs should be able to:</w:t>
      </w:r>
    </w:p>
    <w:p w:rsidR="00804339" w:rsidRDefault="004346C4" w:rsidP="00F81D6E">
      <w:pPr>
        <w:pStyle w:val="ListParagraph"/>
        <w:numPr>
          <w:ilvl w:val="0"/>
          <w:numId w:val="11"/>
        </w:numPr>
        <w:spacing w:after="0" w:line="240" w:lineRule="auto"/>
      </w:pPr>
      <w:r>
        <w:t>Have an informed plan for providing better than basic employee benefits, including how to b</w:t>
      </w:r>
      <w:r w:rsidR="00804339">
        <w:t xml:space="preserve">udget </w:t>
      </w:r>
      <w:r w:rsidR="009A6617">
        <w:t>for human capital investment</w:t>
      </w:r>
    </w:p>
    <w:p w:rsidR="001D55F5" w:rsidRDefault="004346C4" w:rsidP="001D55F5">
      <w:pPr>
        <w:pStyle w:val="ListParagraph"/>
        <w:numPr>
          <w:ilvl w:val="0"/>
          <w:numId w:val="11"/>
        </w:numPr>
        <w:spacing w:after="0" w:line="240" w:lineRule="auto"/>
      </w:pPr>
      <w:r>
        <w:t>Understand the basics of effective</w:t>
      </w:r>
      <w:r w:rsidR="001D55F5">
        <w:t xml:space="preserve"> employee wellness</w:t>
      </w:r>
      <w:r>
        <w:t xml:space="preserve"> programs for startups</w:t>
      </w:r>
    </w:p>
    <w:p w:rsidR="001D55F5" w:rsidRDefault="004346C4" w:rsidP="001D55F5">
      <w:pPr>
        <w:pStyle w:val="ListParagraph"/>
        <w:numPr>
          <w:ilvl w:val="0"/>
          <w:numId w:val="11"/>
        </w:numPr>
        <w:spacing w:after="0" w:line="240" w:lineRule="auto"/>
      </w:pPr>
      <w:r>
        <w:t xml:space="preserve">Understand the basics </w:t>
      </w:r>
      <w:r w:rsidR="00B32B6D">
        <w:t xml:space="preserve">of </w:t>
      </w:r>
      <w:r w:rsidR="00825C1C">
        <w:t xml:space="preserve">good profit sharing programs and/or </w:t>
      </w:r>
      <w:r w:rsidR="00B32B6D">
        <w:t>sharing equity broadly, including how to allocate equity fairly at a startup</w:t>
      </w:r>
    </w:p>
    <w:p w:rsidR="00670E99" w:rsidRDefault="00670E99" w:rsidP="00126955">
      <w:pPr>
        <w:spacing w:after="0" w:line="240" w:lineRule="auto"/>
      </w:pPr>
    </w:p>
    <w:p w:rsidR="00B15921" w:rsidRPr="00B15921" w:rsidRDefault="00B15921" w:rsidP="00126955">
      <w:pPr>
        <w:spacing w:after="0" w:line="240" w:lineRule="auto"/>
        <w:rPr>
          <w:b/>
        </w:rPr>
      </w:pPr>
      <w:r w:rsidRPr="00B15921">
        <w:rPr>
          <w:b/>
        </w:rPr>
        <w:t>Advance Prep</w:t>
      </w:r>
    </w:p>
    <w:p w:rsidR="00B15921" w:rsidRDefault="000C1B90" w:rsidP="00126955">
      <w:pPr>
        <w:spacing w:after="0" w:line="240" w:lineRule="auto"/>
      </w:pPr>
      <w:r>
        <w:t>S</w:t>
      </w:r>
      <w:r w:rsidR="00A87BEB">
        <w:t>end around</w:t>
      </w:r>
      <w:r w:rsidR="0080188B">
        <w:t xml:space="preserve"> the articles below</w:t>
      </w:r>
      <w:r w:rsidR="003C2E19">
        <w:t>, emphasizing the importance of the pre-work</w:t>
      </w:r>
      <w:r w:rsidR="0080188B">
        <w:t xml:space="preserve">. </w:t>
      </w:r>
    </w:p>
    <w:p w:rsidR="00B15921" w:rsidRDefault="00B15921" w:rsidP="00126955">
      <w:pPr>
        <w:spacing w:after="0" w:line="240" w:lineRule="auto"/>
      </w:pPr>
    </w:p>
    <w:p w:rsidR="00B32BD4" w:rsidRPr="00311408" w:rsidRDefault="00B32BD4" w:rsidP="00126955">
      <w:pPr>
        <w:spacing w:after="0" w:line="240" w:lineRule="auto"/>
        <w:rPr>
          <w:b/>
        </w:rPr>
      </w:pPr>
      <w:r w:rsidRPr="00311408">
        <w:rPr>
          <w:b/>
        </w:rPr>
        <w:t>See PowerPoint</w:t>
      </w:r>
      <w:r w:rsidR="00670E99" w:rsidRPr="00311408">
        <w:rPr>
          <w:b/>
        </w:rPr>
        <w:t xml:space="preserve"> for </w:t>
      </w:r>
      <w:r w:rsidR="0051649A" w:rsidRPr="00311408">
        <w:rPr>
          <w:b/>
        </w:rPr>
        <w:t>presentation</w:t>
      </w:r>
      <w:r w:rsidR="001A4291" w:rsidRPr="00311408">
        <w:rPr>
          <w:b/>
        </w:rPr>
        <w:t>/exercise</w:t>
      </w:r>
      <w:r w:rsidR="0051649A" w:rsidRPr="00311408">
        <w:rPr>
          <w:b/>
        </w:rPr>
        <w:t xml:space="preserve"> </w:t>
      </w:r>
      <w:r w:rsidR="00670E99" w:rsidRPr="00311408">
        <w:rPr>
          <w:b/>
        </w:rPr>
        <w:t>content</w:t>
      </w:r>
      <w:r w:rsidR="001A4291" w:rsidRPr="00311408">
        <w:rPr>
          <w:b/>
        </w:rPr>
        <w:t>:</w:t>
      </w:r>
    </w:p>
    <w:p w:rsidR="00311408" w:rsidRDefault="00311408" w:rsidP="00126955">
      <w:pPr>
        <w:spacing w:after="0" w:line="240" w:lineRule="auto"/>
      </w:pPr>
    </w:p>
    <w:tbl>
      <w:tblPr>
        <w:tblStyle w:val="TableGrid"/>
        <w:tblW w:w="10548" w:type="dxa"/>
        <w:tblLook w:val="04A0" w:firstRow="1" w:lastRow="0" w:firstColumn="1" w:lastColumn="0" w:noHBand="0" w:noVBand="1"/>
      </w:tblPr>
      <w:tblGrid>
        <w:gridCol w:w="1638"/>
        <w:gridCol w:w="7290"/>
        <w:gridCol w:w="1620"/>
      </w:tblGrid>
      <w:tr w:rsidR="00311408" w:rsidRPr="00311408" w:rsidTr="00764586">
        <w:tc>
          <w:tcPr>
            <w:tcW w:w="1638" w:type="dxa"/>
          </w:tcPr>
          <w:p w:rsidR="00311408" w:rsidRPr="00311408" w:rsidRDefault="00311408" w:rsidP="00126955">
            <w:pPr>
              <w:rPr>
                <w:b/>
              </w:rPr>
            </w:pPr>
            <w:r w:rsidRPr="00311408">
              <w:rPr>
                <w:b/>
              </w:rPr>
              <w:t>TIME</w:t>
            </w:r>
          </w:p>
        </w:tc>
        <w:tc>
          <w:tcPr>
            <w:tcW w:w="7290" w:type="dxa"/>
          </w:tcPr>
          <w:p w:rsidR="00311408" w:rsidRPr="00311408" w:rsidRDefault="00311408" w:rsidP="00126955">
            <w:pPr>
              <w:rPr>
                <w:b/>
              </w:rPr>
            </w:pPr>
            <w:r w:rsidRPr="00311408">
              <w:rPr>
                <w:b/>
              </w:rPr>
              <w:t>TOPIC</w:t>
            </w:r>
          </w:p>
        </w:tc>
        <w:tc>
          <w:tcPr>
            <w:tcW w:w="1620" w:type="dxa"/>
          </w:tcPr>
          <w:p w:rsidR="00311408" w:rsidRPr="00311408" w:rsidRDefault="00311408" w:rsidP="00126955">
            <w:pPr>
              <w:rPr>
                <w:b/>
              </w:rPr>
            </w:pPr>
            <w:r w:rsidRPr="00311408">
              <w:rPr>
                <w:b/>
              </w:rPr>
              <w:t>MATERIALS</w:t>
            </w:r>
          </w:p>
        </w:tc>
      </w:tr>
      <w:tr w:rsidR="002B210E" w:rsidTr="00764586">
        <w:tc>
          <w:tcPr>
            <w:tcW w:w="1638" w:type="dxa"/>
          </w:tcPr>
          <w:p w:rsidR="002B210E" w:rsidRDefault="00AA4222" w:rsidP="00126955">
            <w:r>
              <w:t>10</w:t>
            </w:r>
            <w:r w:rsidR="002B210E">
              <w:t xml:space="preserve"> min</w:t>
            </w:r>
          </w:p>
        </w:tc>
        <w:tc>
          <w:tcPr>
            <w:tcW w:w="7290" w:type="dxa"/>
          </w:tcPr>
          <w:p w:rsidR="002B210E" w:rsidRPr="00311408" w:rsidRDefault="002B210E" w:rsidP="00126955">
            <w:r>
              <w:t>Introduction to the module</w:t>
            </w:r>
            <w:r w:rsidR="001F4A35">
              <w:t>/goals of day</w:t>
            </w:r>
          </w:p>
        </w:tc>
        <w:tc>
          <w:tcPr>
            <w:tcW w:w="1620" w:type="dxa"/>
          </w:tcPr>
          <w:p w:rsidR="002B210E" w:rsidRDefault="001F4A35" w:rsidP="00126955">
            <w:r w:rsidRPr="001F4A35">
              <w:t>PPT, laptop, projector</w:t>
            </w:r>
          </w:p>
        </w:tc>
      </w:tr>
      <w:tr w:rsidR="00311408" w:rsidTr="00764586">
        <w:tc>
          <w:tcPr>
            <w:tcW w:w="1638" w:type="dxa"/>
          </w:tcPr>
          <w:p w:rsidR="00311408" w:rsidRDefault="005851F9" w:rsidP="00126955">
            <w:r>
              <w:t>3</w:t>
            </w:r>
            <w:r w:rsidR="005731C9">
              <w:t>0</w:t>
            </w:r>
            <w:r w:rsidR="00765D39">
              <w:t xml:space="preserve"> min</w:t>
            </w:r>
          </w:p>
        </w:tc>
        <w:tc>
          <w:tcPr>
            <w:tcW w:w="7290" w:type="dxa"/>
          </w:tcPr>
          <w:p w:rsidR="00311408" w:rsidRDefault="00AA4222" w:rsidP="00126955">
            <w:r>
              <w:t>Better than basic benefits for startups</w:t>
            </w:r>
          </w:p>
        </w:tc>
        <w:tc>
          <w:tcPr>
            <w:tcW w:w="1620" w:type="dxa"/>
          </w:tcPr>
          <w:p w:rsidR="00311408" w:rsidRDefault="00311408" w:rsidP="00126955"/>
        </w:tc>
      </w:tr>
      <w:tr w:rsidR="00765D39" w:rsidTr="00764586">
        <w:tc>
          <w:tcPr>
            <w:tcW w:w="1638" w:type="dxa"/>
          </w:tcPr>
          <w:p w:rsidR="00765D39" w:rsidRDefault="007C19C8" w:rsidP="00126955">
            <w:r>
              <w:t>3</w:t>
            </w:r>
            <w:r w:rsidR="00765D39">
              <w:t>0 min</w:t>
            </w:r>
          </w:p>
        </w:tc>
        <w:tc>
          <w:tcPr>
            <w:tcW w:w="7290" w:type="dxa"/>
          </w:tcPr>
          <w:p w:rsidR="00765D39" w:rsidRPr="00243BA9" w:rsidRDefault="00765D39" w:rsidP="00AA4222">
            <w:pPr>
              <w:rPr>
                <w:i/>
              </w:rPr>
            </w:pPr>
            <w:r w:rsidRPr="00243BA9">
              <w:rPr>
                <w:i/>
              </w:rPr>
              <w:t xml:space="preserve">Exercise on </w:t>
            </w:r>
            <w:r w:rsidR="00AA4222">
              <w:rPr>
                <w:i/>
              </w:rPr>
              <w:t>budgeting for human capital</w:t>
            </w:r>
            <w:r w:rsidR="009A6617">
              <w:rPr>
                <w:i/>
              </w:rPr>
              <w:t xml:space="preserve"> investment</w:t>
            </w:r>
            <w:r w:rsidR="007C19C8">
              <w:rPr>
                <w:i/>
              </w:rPr>
              <w:t xml:space="preserve"> and debrief with whole group</w:t>
            </w:r>
          </w:p>
        </w:tc>
        <w:tc>
          <w:tcPr>
            <w:tcW w:w="1620" w:type="dxa"/>
          </w:tcPr>
          <w:p w:rsidR="00765D39" w:rsidRDefault="001F4A35" w:rsidP="00126955">
            <w:r>
              <w:t>Handout</w:t>
            </w:r>
          </w:p>
        </w:tc>
      </w:tr>
      <w:tr w:rsidR="009918E4" w:rsidTr="00764586">
        <w:tc>
          <w:tcPr>
            <w:tcW w:w="1638" w:type="dxa"/>
          </w:tcPr>
          <w:p w:rsidR="009918E4" w:rsidRPr="009918E4" w:rsidRDefault="0006327B" w:rsidP="00126955">
            <w:pPr>
              <w:rPr>
                <w:b/>
              </w:rPr>
            </w:pPr>
            <w:r>
              <w:rPr>
                <w:b/>
              </w:rPr>
              <w:t>5</w:t>
            </w:r>
            <w:r w:rsidR="009918E4" w:rsidRPr="009918E4">
              <w:rPr>
                <w:b/>
              </w:rPr>
              <w:t xml:space="preserve"> min</w:t>
            </w:r>
          </w:p>
        </w:tc>
        <w:tc>
          <w:tcPr>
            <w:tcW w:w="7290" w:type="dxa"/>
          </w:tcPr>
          <w:p w:rsidR="009918E4" w:rsidRPr="009918E4" w:rsidRDefault="009918E4" w:rsidP="00AA4222">
            <w:pPr>
              <w:rPr>
                <w:b/>
              </w:rPr>
            </w:pPr>
            <w:r w:rsidRPr="009918E4">
              <w:rPr>
                <w:b/>
              </w:rPr>
              <w:t>BREAK</w:t>
            </w:r>
          </w:p>
        </w:tc>
        <w:tc>
          <w:tcPr>
            <w:tcW w:w="1620" w:type="dxa"/>
          </w:tcPr>
          <w:p w:rsidR="009918E4" w:rsidRDefault="009918E4" w:rsidP="00126955"/>
        </w:tc>
      </w:tr>
      <w:tr w:rsidR="00311408" w:rsidTr="00764586">
        <w:tc>
          <w:tcPr>
            <w:tcW w:w="1638" w:type="dxa"/>
          </w:tcPr>
          <w:p w:rsidR="00311408" w:rsidRDefault="005851F9" w:rsidP="00126955">
            <w:r>
              <w:t>20</w:t>
            </w:r>
            <w:r w:rsidR="00765D39">
              <w:t xml:space="preserve"> min</w:t>
            </w:r>
          </w:p>
        </w:tc>
        <w:tc>
          <w:tcPr>
            <w:tcW w:w="7290" w:type="dxa"/>
          </w:tcPr>
          <w:p w:rsidR="00311408" w:rsidRDefault="00AA4222" w:rsidP="00AA4222">
            <w:r>
              <w:t>Investing in employee wellness</w:t>
            </w:r>
            <w:r w:rsidR="0019062E">
              <w:t xml:space="preserve"> – slides and discussion</w:t>
            </w:r>
          </w:p>
        </w:tc>
        <w:tc>
          <w:tcPr>
            <w:tcW w:w="1620" w:type="dxa"/>
          </w:tcPr>
          <w:p w:rsidR="00311408" w:rsidRDefault="00311408" w:rsidP="00126955"/>
        </w:tc>
      </w:tr>
      <w:tr w:rsidR="00765D39" w:rsidTr="00764586">
        <w:tc>
          <w:tcPr>
            <w:tcW w:w="1638" w:type="dxa"/>
          </w:tcPr>
          <w:p w:rsidR="00765D39" w:rsidRDefault="005851F9" w:rsidP="00126955">
            <w:r>
              <w:t>3</w:t>
            </w:r>
            <w:r w:rsidR="009B7688">
              <w:t>0</w:t>
            </w:r>
            <w:r w:rsidR="00765D39">
              <w:t xml:space="preserve"> min</w:t>
            </w:r>
          </w:p>
        </w:tc>
        <w:tc>
          <w:tcPr>
            <w:tcW w:w="7290" w:type="dxa"/>
          </w:tcPr>
          <w:p w:rsidR="00765D39" w:rsidRPr="0019062E" w:rsidRDefault="00825C1C" w:rsidP="00825C1C">
            <w:r>
              <w:t>Smart profit sharing/</w:t>
            </w:r>
            <w:bookmarkStart w:id="0" w:name="_GoBack"/>
            <w:bookmarkEnd w:id="0"/>
            <w:r>
              <w:t>s</w:t>
            </w:r>
            <w:r w:rsidR="00465215" w:rsidRPr="0019062E">
              <w:t>haring equity broadly and allocating equity fairly at startups</w:t>
            </w:r>
            <w:r w:rsidR="0019062E" w:rsidRPr="0019062E">
              <w:t xml:space="preserve"> – slides and discussion</w:t>
            </w:r>
          </w:p>
        </w:tc>
        <w:tc>
          <w:tcPr>
            <w:tcW w:w="1620" w:type="dxa"/>
          </w:tcPr>
          <w:p w:rsidR="00765D39" w:rsidRDefault="00765D39" w:rsidP="00126955"/>
        </w:tc>
      </w:tr>
      <w:tr w:rsidR="00094205" w:rsidTr="00764586">
        <w:tc>
          <w:tcPr>
            <w:tcW w:w="1638" w:type="dxa"/>
          </w:tcPr>
          <w:p w:rsidR="00094205" w:rsidRDefault="00094205" w:rsidP="00126955">
            <w:r>
              <w:t>15 min</w:t>
            </w:r>
          </w:p>
        </w:tc>
        <w:tc>
          <w:tcPr>
            <w:tcW w:w="7290" w:type="dxa"/>
          </w:tcPr>
          <w:p w:rsidR="00094205" w:rsidRDefault="00094205" w:rsidP="0063524A">
            <w:pPr>
              <w:rPr>
                <w:i/>
              </w:rPr>
            </w:pPr>
            <w:r>
              <w:rPr>
                <w:i/>
              </w:rPr>
              <w:t xml:space="preserve">Work with </w:t>
            </w:r>
            <w:r w:rsidR="0063524A">
              <w:rPr>
                <w:i/>
              </w:rPr>
              <w:t>Leveling up exercise or slicing pie spreadsheet</w:t>
            </w:r>
          </w:p>
        </w:tc>
        <w:tc>
          <w:tcPr>
            <w:tcW w:w="1620" w:type="dxa"/>
          </w:tcPr>
          <w:p w:rsidR="00094205" w:rsidRDefault="00E22903" w:rsidP="00126955">
            <w:r>
              <w:t>Handout</w:t>
            </w:r>
          </w:p>
        </w:tc>
      </w:tr>
      <w:tr w:rsidR="00311408" w:rsidTr="00764586">
        <w:tc>
          <w:tcPr>
            <w:tcW w:w="1638" w:type="dxa"/>
          </w:tcPr>
          <w:p w:rsidR="00311408" w:rsidRDefault="001F4A35" w:rsidP="00126955">
            <w:r>
              <w:t>10 min</w:t>
            </w:r>
          </w:p>
        </w:tc>
        <w:tc>
          <w:tcPr>
            <w:tcW w:w="7290" w:type="dxa"/>
          </w:tcPr>
          <w:p w:rsidR="00311408" w:rsidRDefault="001F4A35" w:rsidP="00126955">
            <w:r>
              <w:t>Wrap up, key take-</w:t>
            </w:r>
            <w:proofErr w:type="spellStart"/>
            <w:r>
              <w:t>aways</w:t>
            </w:r>
            <w:proofErr w:type="spellEnd"/>
            <w:r>
              <w:t>, evaluation</w:t>
            </w:r>
          </w:p>
        </w:tc>
        <w:tc>
          <w:tcPr>
            <w:tcW w:w="1620" w:type="dxa"/>
          </w:tcPr>
          <w:p w:rsidR="00311408" w:rsidRDefault="001F4A35" w:rsidP="00126955">
            <w:r>
              <w:t>Evaluation form</w:t>
            </w:r>
          </w:p>
        </w:tc>
      </w:tr>
      <w:tr w:rsidR="001F4A35" w:rsidTr="00764586">
        <w:trPr>
          <w:trHeight w:val="80"/>
        </w:trPr>
        <w:tc>
          <w:tcPr>
            <w:tcW w:w="1638" w:type="dxa"/>
          </w:tcPr>
          <w:p w:rsidR="001F4A35" w:rsidRPr="001F4A35" w:rsidRDefault="0006327B" w:rsidP="0006327B">
            <w:pPr>
              <w:rPr>
                <w:b/>
              </w:rPr>
            </w:pPr>
            <w:r>
              <w:rPr>
                <w:b/>
              </w:rPr>
              <w:t>15</w:t>
            </w:r>
            <w:r w:rsidR="00AA4222">
              <w:rPr>
                <w:b/>
              </w:rPr>
              <w:t>0</w:t>
            </w:r>
            <w:r w:rsidR="001F4A35" w:rsidRPr="001F4A35">
              <w:rPr>
                <w:b/>
              </w:rPr>
              <w:t xml:space="preserve"> min</w:t>
            </w:r>
            <w:r w:rsidR="009B7688">
              <w:rPr>
                <w:b/>
              </w:rPr>
              <w:t xml:space="preserve"> (</w:t>
            </w:r>
            <w:r w:rsidR="009B2161">
              <w:rPr>
                <w:b/>
              </w:rPr>
              <w:t>2</w:t>
            </w:r>
            <w:r>
              <w:rPr>
                <w:b/>
              </w:rPr>
              <w:t>.5</w:t>
            </w:r>
            <w:r w:rsidR="009B2161">
              <w:rPr>
                <w:b/>
              </w:rPr>
              <w:t xml:space="preserve"> </w:t>
            </w:r>
            <w:proofErr w:type="spellStart"/>
            <w:r w:rsidR="009B2161">
              <w:rPr>
                <w:b/>
              </w:rPr>
              <w:t>hrs</w:t>
            </w:r>
            <w:proofErr w:type="spellEnd"/>
            <w:r w:rsidR="001F4A35">
              <w:rPr>
                <w:b/>
              </w:rPr>
              <w:t>)</w:t>
            </w:r>
          </w:p>
        </w:tc>
        <w:tc>
          <w:tcPr>
            <w:tcW w:w="7290" w:type="dxa"/>
          </w:tcPr>
          <w:p w:rsidR="001F4A35" w:rsidRDefault="001F4A35" w:rsidP="00126955"/>
        </w:tc>
        <w:tc>
          <w:tcPr>
            <w:tcW w:w="1620" w:type="dxa"/>
          </w:tcPr>
          <w:p w:rsidR="001F4A35" w:rsidRDefault="001F4A35" w:rsidP="00126955"/>
        </w:tc>
      </w:tr>
    </w:tbl>
    <w:p w:rsidR="00311408" w:rsidRPr="00311408" w:rsidRDefault="00311408" w:rsidP="00126955">
      <w:pPr>
        <w:spacing w:after="0" w:line="240" w:lineRule="auto"/>
      </w:pPr>
    </w:p>
    <w:p w:rsidR="00CA0363" w:rsidRDefault="00CA0363" w:rsidP="008E45FA">
      <w:pPr>
        <w:spacing w:after="0" w:line="240" w:lineRule="auto"/>
        <w:rPr>
          <w:b/>
        </w:rPr>
      </w:pPr>
    </w:p>
    <w:p w:rsidR="008E45FA" w:rsidRPr="00670E99" w:rsidRDefault="008E45FA" w:rsidP="008E45FA">
      <w:pPr>
        <w:spacing w:after="0" w:line="240" w:lineRule="auto"/>
        <w:rPr>
          <w:b/>
        </w:rPr>
      </w:pPr>
      <w:r w:rsidRPr="00670E99">
        <w:rPr>
          <w:b/>
        </w:rPr>
        <w:t>Exercises</w:t>
      </w:r>
    </w:p>
    <w:p w:rsidR="00E04859" w:rsidRDefault="001818C5" w:rsidP="00E04859">
      <w:pPr>
        <w:pStyle w:val="ListParagraph"/>
        <w:numPr>
          <w:ilvl w:val="0"/>
          <w:numId w:val="11"/>
        </w:numPr>
        <w:spacing w:after="0" w:line="240" w:lineRule="auto"/>
      </w:pPr>
      <w:r>
        <w:t>Budgeting for human capital investment</w:t>
      </w:r>
    </w:p>
    <w:p w:rsidR="001E14FC" w:rsidRDefault="001E14FC" w:rsidP="00E04859">
      <w:pPr>
        <w:pStyle w:val="ListParagraph"/>
        <w:numPr>
          <w:ilvl w:val="0"/>
          <w:numId w:val="11"/>
        </w:numPr>
        <w:spacing w:after="0" w:line="240" w:lineRule="auto"/>
      </w:pPr>
      <w:r>
        <w:t>Slicing Pie spreadsheet</w:t>
      </w:r>
    </w:p>
    <w:p w:rsidR="00E04859" w:rsidRDefault="00E04859" w:rsidP="00E04859">
      <w:pPr>
        <w:pStyle w:val="ListParagraph"/>
        <w:spacing w:after="0" w:line="240" w:lineRule="auto"/>
      </w:pPr>
    </w:p>
    <w:p w:rsidR="008E45FA" w:rsidRDefault="008E45FA" w:rsidP="008E45FA">
      <w:pPr>
        <w:spacing w:after="0" w:line="240" w:lineRule="auto"/>
        <w:rPr>
          <w:b/>
        </w:rPr>
      </w:pPr>
      <w:r>
        <w:rPr>
          <w:b/>
        </w:rPr>
        <w:t>Follow Up/Measure progress</w:t>
      </w:r>
    </w:p>
    <w:p w:rsidR="008E45FA" w:rsidRPr="008E45FA" w:rsidRDefault="000C6816" w:rsidP="008E45FA">
      <w:pPr>
        <w:spacing w:after="0" w:line="240" w:lineRule="auto"/>
      </w:pPr>
      <w:r>
        <w:t xml:space="preserve">Check in after a month, six months, </w:t>
      </w:r>
      <w:proofErr w:type="gramStart"/>
      <w:r>
        <w:t>a</w:t>
      </w:r>
      <w:proofErr w:type="gramEnd"/>
      <w:r>
        <w:t xml:space="preserve"> year on progress</w:t>
      </w:r>
    </w:p>
    <w:p w:rsidR="008E45FA" w:rsidRDefault="008E45FA" w:rsidP="008E45FA">
      <w:pPr>
        <w:spacing w:after="0" w:line="240" w:lineRule="auto"/>
        <w:rPr>
          <w:b/>
        </w:rPr>
      </w:pPr>
    </w:p>
    <w:p w:rsidR="00B32BD4" w:rsidRDefault="00B32BD4" w:rsidP="00126955">
      <w:pPr>
        <w:spacing w:after="0" w:line="240" w:lineRule="auto"/>
        <w:rPr>
          <w:b/>
        </w:rPr>
      </w:pPr>
      <w:r w:rsidRPr="00670E99">
        <w:rPr>
          <w:b/>
        </w:rPr>
        <w:t>Resources</w:t>
      </w:r>
      <w:r w:rsidR="003F79BD">
        <w:rPr>
          <w:b/>
        </w:rPr>
        <w:t xml:space="preserve"> to distribute ahead of time</w:t>
      </w:r>
    </w:p>
    <w:p w:rsidR="003C2E19" w:rsidRDefault="003C2E19" w:rsidP="00126955">
      <w:pPr>
        <w:spacing w:after="0" w:line="240" w:lineRule="auto"/>
        <w:rPr>
          <w:i/>
        </w:rPr>
      </w:pPr>
      <w:r w:rsidRPr="009D001D">
        <w:rPr>
          <w:i/>
        </w:rPr>
        <w:t>NOTE TO PARTICIPANTS: This pre-work (reviewing these materials) will take you about 30-60 minutes and will enable you to participate at a much higher level.</w:t>
      </w:r>
    </w:p>
    <w:p w:rsidR="003C2E19" w:rsidRPr="00670E99" w:rsidRDefault="003C2E19" w:rsidP="00126955">
      <w:pPr>
        <w:spacing w:after="0" w:line="240" w:lineRule="auto"/>
        <w:rPr>
          <w:b/>
        </w:rPr>
      </w:pPr>
    </w:p>
    <w:p w:rsidR="00352799" w:rsidRDefault="00D4475C" w:rsidP="00D4475C">
      <w:pPr>
        <w:pStyle w:val="ListParagraph"/>
        <w:numPr>
          <w:ilvl w:val="0"/>
          <w:numId w:val="2"/>
        </w:numPr>
        <w:spacing w:after="0" w:line="240" w:lineRule="auto"/>
      </w:pPr>
      <w:r>
        <w:t xml:space="preserve">Entrepreneur: </w:t>
      </w:r>
      <w:hyperlink r:id="rId6" w:history="1">
        <w:r w:rsidRPr="00D4475C">
          <w:rPr>
            <w:rStyle w:val="Hyperlink"/>
          </w:rPr>
          <w:t>The Basics of Employee Benefits</w:t>
        </w:r>
      </w:hyperlink>
    </w:p>
    <w:p w:rsidR="00D4475C" w:rsidRDefault="00D4475C" w:rsidP="00301131">
      <w:pPr>
        <w:pStyle w:val="ListParagraph"/>
        <w:numPr>
          <w:ilvl w:val="1"/>
          <w:numId w:val="2"/>
        </w:numPr>
        <w:spacing w:after="0" w:line="240" w:lineRule="auto"/>
      </w:pPr>
      <w:r w:rsidRPr="00D4475C">
        <w:rPr>
          <w:u w:val="single"/>
        </w:rPr>
        <w:t>Length</w:t>
      </w:r>
      <w:r>
        <w:t>: Long online article</w:t>
      </w:r>
    </w:p>
    <w:p w:rsidR="00301131" w:rsidRDefault="00D4475C" w:rsidP="00301131">
      <w:pPr>
        <w:pStyle w:val="ListParagraph"/>
        <w:numPr>
          <w:ilvl w:val="1"/>
          <w:numId w:val="2"/>
        </w:numPr>
        <w:spacing w:after="0" w:line="240" w:lineRule="auto"/>
      </w:pPr>
      <w:r w:rsidRPr="00D4475C">
        <w:rPr>
          <w:u w:val="single"/>
        </w:rPr>
        <w:t>Summary</w:t>
      </w:r>
      <w:r>
        <w:t xml:space="preserve">: </w:t>
      </w:r>
      <w:r w:rsidR="00222126">
        <w:t xml:space="preserve">A detailed introduction to basic and more extensive benefits for startups. Even reading the beginning would be </w:t>
      </w:r>
      <w:r w:rsidR="00ED72E0">
        <w:t xml:space="preserve">a </w:t>
      </w:r>
      <w:r w:rsidR="00222126">
        <w:t>useful</w:t>
      </w:r>
      <w:r w:rsidR="00ED72E0">
        <w:t xml:space="preserve"> grounding for startup entrepreneurs</w:t>
      </w:r>
      <w:r w:rsidR="00222126">
        <w:t>.</w:t>
      </w:r>
    </w:p>
    <w:p w:rsidR="00D4475C" w:rsidRDefault="00D4475C" w:rsidP="00301131">
      <w:pPr>
        <w:pStyle w:val="ListParagraph"/>
        <w:numPr>
          <w:ilvl w:val="1"/>
          <w:numId w:val="2"/>
        </w:numPr>
        <w:spacing w:after="0" w:line="240" w:lineRule="auto"/>
      </w:pPr>
      <w:r w:rsidRPr="00D4475C">
        <w:rPr>
          <w:u w:val="single"/>
        </w:rPr>
        <w:t>Relevance for early stage entrepreneurs</w:t>
      </w:r>
      <w:r>
        <w:t>: High</w:t>
      </w:r>
    </w:p>
    <w:p w:rsidR="00D4475C" w:rsidRDefault="00D4475C" w:rsidP="00301131">
      <w:pPr>
        <w:pStyle w:val="ListParagraph"/>
        <w:numPr>
          <w:ilvl w:val="1"/>
          <w:numId w:val="2"/>
        </w:numPr>
        <w:spacing w:after="0" w:line="240" w:lineRule="auto"/>
      </w:pPr>
      <w:r w:rsidRPr="00D4475C">
        <w:rPr>
          <w:u w:val="single"/>
        </w:rPr>
        <w:t>Specific take-</w:t>
      </w:r>
      <w:proofErr w:type="spellStart"/>
      <w:r w:rsidRPr="00D4475C">
        <w:rPr>
          <w:u w:val="single"/>
        </w:rPr>
        <w:t>aways</w:t>
      </w:r>
      <w:proofErr w:type="spellEnd"/>
      <w:r>
        <w:t xml:space="preserve">: </w:t>
      </w:r>
      <w:r w:rsidR="00647106">
        <w:t xml:space="preserve">Good employee benefits are key to recruiting and retaining the best employees. Health insurance is a must-have, and other key benefits include short term disability and retirement plans. The article details important considerations, such as who will be covered, as well as listing a variety of options. </w:t>
      </w:r>
    </w:p>
    <w:p w:rsidR="00957223" w:rsidRPr="00496762" w:rsidRDefault="00957223" w:rsidP="00957223">
      <w:pPr>
        <w:pStyle w:val="ListParagraph"/>
        <w:numPr>
          <w:ilvl w:val="0"/>
          <w:numId w:val="2"/>
        </w:numPr>
        <w:spacing w:after="0" w:line="240" w:lineRule="auto"/>
        <w:rPr>
          <w:rFonts w:ascii="Calibri" w:eastAsia="Times New Roman" w:hAnsi="Calibri" w:cs="Calibri"/>
          <w:b/>
        </w:rPr>
      </w:pPr>
      <w:r w:rsidRPr="006A0CFB">
        <w:t>Inc.</w:t>
      </w:r>
      <w:r>
        <w:rPr>
          <w:rFonts w:ascii="Calibri" w:eastAsia="Times New Roman" w:hAnsi="Calibri" w:cs="Calibri"/>
          <w:b/>
        </w:rPr>
        <w:t xml:space="preserve">: </w:t>
      </w:r>
      <w:hyperlink r:id="rId7" w:history="1">
        <w:r w:rsidRPr="00496762">
          <w:rPr>
            <w:rStyle w:val="Hyperlink"/>
            <w:rFonts w:ascii="Calibri" w:eastAsia="Times New Roman" w:hAnsi="Calibri" w:cs="Calibri"/>
          </w:rPr>
          <w:t>How to Build a Wellness Program</w:t>
        </w:r>
      </w:hyperlink>
    </w:p>
    <w:p w:rsidR="00957223" w:rsidRPr="00995557" w:rsidRDefault="00957223" w:rsidP="00957223">
      <w:pPr>
        <w:pStyle w:val="ListParagraph"/>
        <w:numPr>
          <w:ilvl w:val="1"/>
          <w:numId w:val="2"/>
        </w:numPr>
        <w:spacing w:after="0" w:line="240" w:lineRule="auto"/>
      </w:pPr>
      <w:r w:rsidRPr="00845600">
        <w:rPr>
          <w:u w:val="single"/>
        </w:rPr>
        <w:t>Length</w:t>
      </w:r>
      <w:r>
        <w:t>: Short article</w:t>
      </w:r>
    </w:p>
    <w:p w:rsidR="00957223" w:rsidRPr="00995557" w:rsidRDefault="00957223" w:rsidP="00957223">
      <w:pPr>
        <w:pStyle w:val="ListParagraph"/>
        <w:numPr>
          <w:ilvl w:val="1"/>
          <w:numId w:val="2"/>
        </w:numPr>
        <w:spacing w:after="0" w:line="240" w:lineRule="auto"/>
      </w:pPr>
      <w:r w:rsidRPr="00845600">
        <w:rPr>
          <w:u w:val="single"/>
        </w:rPr>
        <w:t>Summary</w:t>
      </w:r>
      <w:r>
        <w:t>: Small businesses are less likely than large firms to have wellness programs, but there are relatively low cost, easy measures that small businesses can implement that have a significant ROI.</w:t>
      </w:r>
    </w:p>
    <w:p w:rsidR="00957223" w:rsidRPr="00995557" w:rsidRDefault="00957223" w:rsidP="00957223">
      <w:pPr>
        <w:pStyle w:val="ListParagraph"/>
        <w:numPr>
          <w:ilvl w:val="1"/>
          <w:numId w:val="2"/>
        </w:numPr>
        <w:spacing w:after="0" w:line="240" w:lineRule="auto"/>
      </w:pPr>
      <w:r w:rsidRPr="00845600">
        <w:rPr>
          <w:u w:val="single"/>
        </w:rPr>
        <w:t>Relevance for early stage entrepreneurs</w:t>
      </w:r>
      <w:r>
        <w:t>: High</w:t>
      </w:r>
    </w:p>
    <w:p w:rsidR="00957223" w:rsidRPr="004F77DD" w:rsidRDefault="00957223" w:rsidP="00957223">
      <w:pPr>
        <w:pStyle w:val="ListParagraph"/>
        <w:numPr>
          <w:ilvl w:val="1"/>
          <w:numId w:val="2"/>
        </w:numPr>
        <w:spacing w:after="0" w:line="240" w:lineRule="auto"/>
        <w:rPr>
          <w:rFonts w:ascii="Calibri" w:eastAsia="Times New Roman" w:hAnsi="Calibri" w:cs="Calibri"/>
          <w:b/>
        </w:rPr>
      </w:pPr>
      <w:r w:rsidRPr="00800786">
        <w:rPr>
          <w:u w:val="single"/>
        </w:rPr>
        <w:t>Specific take-</w:t>
      </w:r>
      <w:proofErr w:type="spellStart"/>
      <w:r w:rsidRPr="00800786">
        <w:rPr>
          <w:u w:val="single"/>
        </w:rPr>
        <w:t>aways</w:t>
      </w:r>
      <w:proofErr w:type="spellEnd"/>
      <w:r w:rsidRPr="00800786">
        <w:rPr>
          <w:u w:val="single"/>
        </w:rPr>
        <w:t>:</w:t>
      </w:r>
      <w:r>
        <w:t xml:space="preserve">  Take advantage of the Health Risk Appraisals (HRAs) offered by most health insurers to determine what measures will have the most bang for the buck at your small business. Survey employees to find out what they are most interested in. Three good areas to tackle include smoking cessation, cancer screening, and fitness/nutrition. Be creative.</w:t>
      </w:r>
    </w:p>
    <w:p w:rsidR="00672FEB" w:rsidRDefault="00672FEB" w:rsidP="00672FEB">
      <w:pPr>
        <w:pStyle w:val="ListParagraph"/>
        <w:numPr>
          <w:ilvl w:val="0"/>
          <w:numId w:val="2"/>
        </w:numPr>
        <w:spacing w:after="0" w:line="240" w:lineRule="auto"/>
      </w:pPr>
      <w:proofErr w:type="spellStart"/>
      <w:r>
        <w:t>Zenefits</w:t>
      </w:r>
      <w:proofErr w:type="spellEnd"/>
      <w:r>
        <w:t xml:space="preserve"> Blog: </w:t>
      </w:r>
      <w:hyperlink r:id="rId8" w:history="1">
        <w:r w:rsidRPr="00310A15">
          <w:rPr>
            <w:rStyle w:val="Hyperlink"/>
          </w:rPr>
          <w:t>10 Ways to Promote a Healthy Work-Life Balance</w:t>
        </w:r>
      </w:hyperlink>
    </w:p>
    <w:p w:rsidR="00672FEB" w:rsidRDefault="00672FEB" w:rsidP="00672FEB">
      <w:pPr>
        <w:pStyle w:val="ListParagraph"/>
        <w:numPr>
          <w:ilvl w:val="1"/>
          <w:numId w:val="2"/>
        </w:numPr>
        <w:spacing w:after="0" w:line="240" w:lineRule="auto"/>
      </w:pPr>
      <w:r w:rsidRPr="00672FEB">
        <w:rPr>
          <w:u w:val="single"/>
        </w:rPr>
        <w:t>Length</w:t>
      </w:r>
      <w:r>
        <w:t>: Short online article</w:t>
      </w:r>
    </w:p>
    <w:p w:rsidR="00672FEB" w:rsidRDefault="00672FEB" w:rsidP="00672FEB">
      <w:pPr>
        <w:pStyle w:val="ListParagraph"/>
        <w:numPr>
          <w:ilvl w:val="1"/>
          <w:numId w:val="2"/>
        </w:numPr>
        <w:spacing w:after="0" w:line="240" w:lineRule="auto"/>
      </w:pPr>
      <w:r w:rsidRPr="00F13ED5">
        <w:rPr>
          <w:u w:val="single"/>
        </w:rPr>
        <w:t>Summary</w:t>
      </w:r>
      <w:r>
        <w:t>: Ways employers can support employee balance</w:t>
      </w:r>
    </w:p>
    <w:p w:rsidR="00672FEB" w:rsidRDefault="00672FEB" w:rsidP="00672FEB">
      <w:pPr>
        <w:pStyle w:val="ListParagraph"/>
        <w:numPr>
          <w:ilvl w:val="1"/>
          <w:numId w:val="2"/>
        </w:numPr>
        <w:spacing w:after="0" w:line="240" w:lineRule="auto"/>
      </w:pPr>
      <w:r w:rsidRPr="00F13ED5">
        <w:rPr>
          <w:u w:val="single"/>
        </w:rPr>
        <w:t>Relevance for early stage entrepreneurs</w:t>
      </w:r>
      <w:r>
        <w:t>: High</w:t>
      </w:r>
    </w:p>
    <w:p w:rsidR="00672FEB" w:rsidRDefault="00672FEB" w:rsidP="00672FEB">
      <w:pPr>
        <w:pStyle w:val="ListParagraph"/>
        <w:numPr>
          <w:ilvl w:val="1"/>
          <w:numId w:val="2"/>
        </w:numPr>
        <w:spacing w:after="0" w:line="240" w:lineRule="auto"/>
      </w:pPr>
      <w:r w:rsidRPr="00E87B31">
        <w:rPr>
          <w:u w:val="single"/>
        </w:rPr>
        <w:t>Specific take-</w:t>
      </w:r>
      <w:proofErr w:type="spellStart"/>
      <w:r w:rsidRPr="00E87B31">
        <w:rPr>
          <w:u w:val="single"/>
        </w:rPr>
        <w:t>aways</w:t>
      </w:r>
      <w:proofErr w:type="spellEnd"/>
      <w:r w:rsidRPr="00F13ED5">
        <w:t xml:space="preserve">: </w:t>
      </w:r>
      <w:r w:rsidR="00310A15">
        <w:t xml:space="preserve">Ask workers what they need, educate employees, watch for burnout, offer flextime and telecommuting, encourage efficient work and creativity, promote health initiatives, </w:t>
      </w:r>
      <w:proofErr w:type="spellStart"/>
      <w:r w:rsidR="00310A15">
        <w:t>lead</w:t>
      </w:r>
      <w:proofErr w:type="spellEnd"/>
      <w:r w:rsidR="00310A15">
        <w:t xml:space="preserve"> by example.</w:t>
      </w:r>
    </w:p>
    <w:p w:rsidR="0038711E" w:rsidRPr="00CC5FD0" w:rsidRDefault="0038711E" w:rsidP="0038711E">
      <w:pPr>
        <w:pStyle w:val="ListParagraph"/>
        <w:numPr>
          <w:ilvl w:val="0"/>
          <w:numId w:val="2"/>
        </w:numPr>
        <w:spacing w:after="0" w:line="240" w:lineRule="auto"/>
        <w:rPr>
          <w:rFonts w:ascii="Calibri" w:eastAsia="Times New Roman" w:hAnsi="Calibri" w:cs="Calibri"/>
        </w:rPr>
      </w:pPr>
      <w:proofErr w:type="spellStart"/>
      <w:r w:rsidRPr="00CC5FD0">
        <w:rPr>
          <w:rFonts w:ascii="Calibri" w:eastAsia="Times New Roman" w:hAnsi="Calibri" w:cs="Calibri"/>
        </w:rPr>
        <w:t>Beyster</w:t>
      </w:r>
      <w:proofErr w:type="spellEnd"/>
      <w:r w:rsidRPr="00CC5FD0">
        <w:rPr>
          <w:rFonts w:ascii="Calibri" w:eastAsia="Times New Roman" w:hAnsi="Calibri" w:cs="Calibri"/>
        </w:rPr>
        <w:t xml:space="preserve"> Institute at </w:t>
      </w:r>
      <w:proofErr w:type="spellStart"/>
      <w:r w:rsidRPr="00CC5FD0">
        <w:rPr>
          <w:rFonts w:ascii="Calibri" w:eastAsia="Times New Roman" w:hAnsi="Calibri" w:cs="Calibri"/>
        </w:rPr>
        <w:t>Rady</w:t>
      </w:r>
      <w:proofErr w:type="spellEnd"/>
      <w:r w:rsidRPr="00CC5FD0">
        <w:rPr>
          <w:rFonts w:ascii="Calibri" w:eastAsia="Times New Roman" w:hAnsi="Calibri" w:cs="Calibri"/>
        </w:rPr>
        <w:t xml:space="preserve"> School of Management: </w:t>
      </w:r>
      <w:hyperlink r:id="rId9" w:history="1">
        <w:proofErr w:type="spellStart"/>
        <w:r w:rsidRPr="00CC5FD0">
          <w:rPr>
            <w:rStyle w:val="Hyperlink"/>
            <w:rFonts w:ascii="Calibri" w:eastAsia="Times New Roman" w:hAnsi="Calibri" w:cs="Calibri"/>
          </w:rPr>
          <w:t>Beyster</w:t>
        </w:r>
        <w:proofErr w:type="spellEnd"/>
        <w:r w:rsidRPr="00CC5FD0">
          <w:rPr>
            <w:rStyle w:val="Hyperlink"/>
            <w:rFonts w:ascii="Calibri" w:eastAsia="Times New Roman" w:hAnsi="Calibri" w:cs="Calibri"/>
          </w:rPr>
          <w:t xml:space="preserve"> Startup Toolkit: Sharing Equity Ownership</w:t>
        </w:r>
      </w:hyperlink>
    </w:p>
    <w:p w:rsidR="0038711E" w:rsidRDefault="0038711E" w:rsidP="0038711E">
      <w:pPr>
        <w:pStyle w:val="ListParagraph"/>
        <w:numPr>
          <w:ilvl w:val="1"/>
          <w:numId w:val="2"/>
        </w:numPr>
        <w:spacing w:after="0" w:line="240" w:lineRule="auto"/>
        <w:rPr>
          <w:rFonts w:ascii="Calibri" w:eastAsia="Times New Roman" w:hAnsi="Calibri" w:cs="Calibri"/>
        </w:rPr>
      </w:pPr>
      <w:r w:rsidRPr="00CC5FD0">
        <w:rPr>
          <w:rFonts w:ascii="Calibri" w:eastAsia="Times New Roman" w:hAnsi="Calibri" w:cs="Calibri"/>
          <w:u w:val="single"/>
        </w:rPr>
        <w:t>Length</w:t>
      </w:r>
      <w:r w:rsidRPr="00CC5FD0">
        <w:rPr>
          <w:rFonts w:ascii="Calibri" w:eastAsia="Times New Roman" w:hAnsi="Calibri" w:cs="Calibri"/>
        </w:rPr>
        <w:t xml:space="preserve">: </w:t>
      </w:r>
      <w:r>
        <w:rPr>
          <w:rFonts w:ascii="Calibri" w:eastAsia="Times New Roman" w:hAnsi="Calibri" w:cs="Calibri"/>
        </w:rPr>
        <w:t>Online article with 10 components</w:t>
      </w:r>
    </w:p>
    <w:p w:rsidR="0038711E" w:rsidRDefault="0038711E" w:rsidP="0038711E">
      <w:pPr>
        <w:pStyle w:val="ListParagraph"/>
        <w:numPr>
          <w:ilvl w:val="1"/>
          <w:numId w:val="2"/>
        </w:numPr>
        <w:spacing w:after="0" w:line="240" w:lineRule="auto"/>
        <w:rPr>
          <w:rFonts w:ascii="Calibri" w:eastAsia="Times New Roman" w:hAnsi="Calibri" w:cs="Calibri"/>
        </w:rPr>
      </w:pPr>
      <w:r w:rsidRPr="00CC5FD0">
        <w:rPr>
          <w:rFonts w:ascii="Calibri" w:eastAsia="Times New Roman" w:hAnsi="Calibri" w:cs="Calibri"/>
          <w:u w:val="single"/>
        </w:rPr>
        <w:t>Summary</w:t>
      </w:r>
      <w:r w:rsidRPr="0002066A">
        <w:rPr>
          <w:rFonts w:ascii="Calibri" w:eastAsia="Times New Roman" w:hAnsi="Calibri" w:cs="Calibri"/>
        </w:rPr>
        <w:t>: Planning how you want</w:t>
      </w:r>
      <w:r>
        <w:rPr>
          <w:rFonts w:ascii="Calibri" w:eastAsia="Times New Roman" w:hAnsi="Calibri" w:cs="Calibri"/>
        </w:rPr>
        <w:t xml:space="preserve"> to use ownership interests (</w:t>
      </w:r>
      <w:r w:rsidRPr="0002066A">
        <w:rPr>
          <w:rFonts w:ascii="Calibri" w:eastAsia="Times New Roman" w:hAnsi="Calibri" w:cs="Calibri"/>
        </w:rPr>
        <w:t>equity) from the beginning of your company can help you maximize growth opportunities</w:t>
      </w:r>
      <w:r>
        <w:rPr>
          <w:rFonts w:ascii="Calibri" w:eastAsia="Times New Roman" w:hAnsi="Calibri" w:cs="Calibri"/>
        </w:rPr>
        <w:t xml:space="preserve">. This plan may include sharing equity broadly with employees to help build a strong team of co-owners working toward the same objectives. </w:t>
      </w:r>
    </w:p>
    <w:p w:rsidR="0038711E" w:rsidRDefault="0038711E" w:rsidP="0038711E">
      <w:pPr>
        <w:pStyle w:val="ListParagraph"/>
        <w:numPr>
          <w:ilvl w:val="1"/>
          <w:numId w:val="2"/>
        </w:numPr>
        <w:spacing w:after="0" w:line="240" w:lineRule="auto"/>
        <w:rPr>
          <w:rFonts w:ascii="Calibri" w:eastAsia="Times New Roman" w:hAnsi="Calibri" w:cs="Calibri"/>
        </w:rPr>
      </w:pPr>
      <w:r w:rsidRPr="00CC5FD0">
        <w:rPr>
          <w:rFonts w:ascii="Calibri" w:eastAsia="Times New Roman" w:hAnsi="Calibri" w:cs="Calibri"/>
          <w:u w:val="single"/>
        </w:rPr>
        <w:t>Relevance for early stage entrepreneurs</w:t>
      </w:r>
      <w:r>
        <w:rPr>
          <w:rFonts w:ascii="Calibri" w:eastAsia="Times New Roman" w:hAnsi="Calibri" w:cs="Calibri"/>
        </w:rPr>
        <w:t>: High</w:t>
      </w:r>
    </w:p>
    <w:p w:rsidR="0038711E" w:rsidRPr="00685459" w:rsidRDefault="0038711E" w:rsidP="0038711E">
      <w:pPr>
        <w:pStyle w:val="ListParagraph"/>
        <w:numPr>
          <w:ilvl w:val="1"/>
          <w:numId w:val="2"/>
        </w:numPr>
        <w:spacing w:after="0" w:line="240" w:lineRule="auto"/>
        <w:rPr>
          <w:rFonts w:ascii="Calibri" w:eastAsia="Times New Roman" w:hAnsi="Calibri" w:cs="Calibri"/>
          <w:b/>
        </w:rPr>
      </w:pPr>
      <w:r w:rsidRPr="00CC5FD0">
        <w:rPr>
          <w:rFonts w:ascii="Calibri" w:eastAsia="Times New Roman" w:hAnsi="Calibri" w:cs="Calibri"/>
          <w:u w:val="single"/>
        </w:rPr>
        <w:t>Specific take-</w:t>
      </w:r>
      <w:proofErr w:type="spellStart"/>
      <w:r w:rsidRPr="00CC5FD0">
        <w:rPr>
          <w:rFonts w:ascii="Calibri" w:eastAsia="Times New Roman" w:hAnsi="Calibri" w:cs="Calibri"/>
          <w:u w:val="single"/>
        </w:rPr>
        <w:t>aways</w:t>
      </w:r>
      <w:proofErr w:type="spellEnd"/>
      <w:r>
        <w:rPr>
          <w:rFonts w:ascii="Calibri" w:eastAsia="Times New Roman" w:hAnsi="Calibri" w:cs="Calibri"/>
        </w:rPr>
        <w:t>: R</w:t>
      </w:r>
      <w:r w:rsidRPr="009138A0">
        <w:rPr>
          <w:rFonts w:ascii="Calibri" w:eastAsia="Times New Roman" w:hAnsi="Calibri" w:cs="Calibri"/>
        </w:rPr>
        <w:t xml:space="preserve">esearch consistently </w:t>
      </w:r>
      <w:r>
        <w:rPr>
          <w:rFonts w:ascii="Calibri" w:eastAsia="Times New Roman" w:hAnsi="Calibri" w:cs="Calibri"/>
        </w:rPr>
        <w:t xml:space="preserve">shows that </w:t>
      </w:r>
      <w:r w:rsidRPr="009138A0">
        <w:rPr>
          <w:rFonts w:ascii="Calibri" w:eastAsia="Times New Roman" w:hAnsi="Calibri" w:cs="Calibri"/>
        </w:rPr>
        <w:t>sharing ownership correlate</w:t>
      </w:r>
      <w:r>
        <w:rPr>
          <w:rFonts w:ascii="Calibri" w:eastAsia="Times New Roman" w:hAnsi="Calibri" w:cs="Calibri"/>
        </w:rPr>
        <w:t>s</w:t>
      </w:r>
      <w:r w:rsidRPr="009138A0">
        <w:rPr>
          <w:rFonts w:ascii="Calibri" w:eastAsia="Times New Roman" w:hAnsi="Calibri" w:cs="Calibri"/>
        </w:rPr>
        <w:t xml:space="preserve"> with superior business performance.</w:t>
      </w:r>
      <w:r>
        <w:rPr>
          <w:rFonts w:ascii="Calibri" w:eastAsia="Times New Roman" w:hAnsi="Calibri" w:cs="Calibri"/>
        </w:rPr>
        <w:t xml:space="preserve"> A useful principle is to allocate equity </w:t>
      </w:r>
      <w:r w:rsidRPr="009138A0">
        <w:rPr>
          <w:rFonts w:ascii="Calibri" w:eastAsia="Times New Roman" w:hAnsi="Calibri" w:cs="Calibri"/>
        </w:rPr>
        <w:t xml:space="preserve">in proportion to </w:t>
      </w:r>
      <w:r>
        <w:rPr>
          <w:rFonts w:ascii="Calibri" w:eastAsia="Times New Roman" w:hAnsi="Calibri" w:cs="Calibri"/>
        </w:rPr>
        <w:t>individuals’</w:t>
      </w:r>
      <w:r w:rsidRPr="009138A0">
        <w:rPr>
          <w:rFonts w:ascii="Calibri" w:eastAsia="Times New Roman" w:hAnsi="Calibri" w:cs="Calibri"/>
        </w:rPr>
        <w:t xml:space="preserve"> contribution</w:t>
      </w:r>
      <w:r>
        <w:rPr>
          <w:rFonts w:ascii="Calibri" w:eastAsia="Times New Roman" w:hAnsi="Calibri" w:cs="Calibri"/>
        </w:rPr>
        <w:t>s to the success of the venture. Don’t allocate large amounts of equity at once – portion out smaller amounts annually. Other factors to consider include program cost, taxes, accounting, valuation, securities, and employee liquidity.</w:t>
      </w:r>
    </w:p>
    <w:p w:rsidR="005572B7" w:rsidRPr="005D1A7D" w:rsidRDefault="005572B7" w:rsidP="005572B7">
      <w:pPr>
        <w:pStyle w:val="ListParagraph"/>
        <w:numPr>
          <w:ilvl w:val="0"/>
          <w:numId w:val="10"/>
        </w:numPr>
        <w:spacing w:after="0" w:line="240" w:lineRule="auto"/>
        <w:rPr>
          <w:rStyle w:val="Hyperlink"/>
          <w:rFonts w:ascii="Calibri" w:eastAsia="Times New Roman" w:hAnsi="Calibri" w:cs="Calibri"/>
          <w:b/>
        </w:rPr>
      </w:pPr>
      <w:r w:rsidRPr="00147A6C">
        <w:t>Inc. Magazi</w:t>
      </w:r>
      <w:r>
        <w:t xml:space="preserve">ne: </w:t>
      </w:r>
      <w:hyperlink r:id="rId10" w:history="1">
        <w:r w:rsidRPr="001169D4">
          <w:rPr>
            <w:rStyle w:val="Hyperlink"/>
          </w:rPr>
          <w:t>The Problem with Profit Sharing</w:t>
        </w:r>
      </w:hyperlink>
    </w:p>
    <w:p w:rsidR="005572B7" w:rsidRPr="00995557" w:rsidRDefault="005572B7" w:rsidP="005572B7">
      <w:pPr>
        <w:pStyle w:val="ListParagraph"/>
        <w:numPr>
          <w:ilvl w:val="2"/>
          <w:numId w:val="10"/>
        </w:numPr>
        <w:spacing w:after="0" w:line="240" w:lineRule="auto"/>
        <w:ind w:left="2160"/>
      </w:pPr>
      <w:r w:rsidRPr="00845600">
        <w:rPr>
          <w:u w:val="single"/>
        </w:rPr>
        <w:t>Length</w:t>
      </w:r>
      <w:r>
        <w:t>: Short online article (very good)</w:t>
      </w:r>
    </w:p>
    <w:p w:rsidR="005572B7" w:rsidRPr="00995557" w:rsidRDefault="005572B7" w:rsidP="005572B7">
      <w:pPr>
        <w:pStyle w:val="ListParagraph"/>
        <w:numPr>
          <w:ilvl w:val="2"/>
          <w:numId w:val="10"/>
        </w:numPr>
        <w:spacing w:after="0" w:line="240" w:lineRule="auto"/>
        <w:ind w:left="2160"/>
      </w:pPr>
      <w:r w:rsidRPr="00845600">
        <w:rPr>
          <w:u w:val="single"/>
        </w:rPr>
        <w:t>Summary</w:t>
      </w:r>
      <w:r>
        <w:t xml:space="preserve">: Simple profit sharing is appreciated but not effective – employees don’t know why the company did well enough to deliver a profit sharing check, and they come to expect it regardless of how they perform. A good bonus system, on the other hand, </w:t>
      </w:r>
      <w:r>
        <w:lastRenderedPageBreak/>
        <w:t>educates employees about how the work they do every day contributes to company success.</w:t>
      </w:r>
    </w:p>
    <w:p w:rsidR="005572B7" w:rsidRDefault="005572B7" w:rsidP="005572B7">
      <w:pPr>
        <w:pStyle w:val="ListParagraph"/>
        <w:numPr>
          <w:ilvl w:val="2"/>
          <w:numId w:val="10"/>
        </w:numPr>
        <w:spacing w:after="0" w:line="240" w:lineRule="auto"/>
        <w:ind w:left="2160"/>
      </w:pPr>
      <w:r w:rsidRPr="00845600">
        <w:rPr>
          <w:u w:val="single"/>
        </w:rPr>
        <w:t>Relevance for early stage entrepreneurs</w:t>
      </w:r>
      <w:r>
        <w:t>: High</w:t>
      </w:r>
    </w:p>
    <w:p w:rsidR="005572B7" w:rsidRDefault="005572B7" w:rsidP="005572B7">
      <w:pPr>
        <w:pStyle w:val="ListParagraph"/>
        <w:numPr>
          <w:ilvl w:val="2"/>
          <w:numId w:val="10"/>
        </w:numPr>
        <w:spacing w:after="0" w:line="240" w:lineRule="auto"/>
        <w:ind w:left="2160"/>
      </w:pPr>
      <w:r w:rsidRPr="00E87B31">
        <w:rPr>
          <w:u w:val="single"/>
        </w:rPr>
        <w:t>Specific take-</w:t>
      </w:r>
      <w:proofErr w:type="spellStart"/>
      <w:r w:rsidRPr="00E87B31">
        <w:rPr>
          <w:u w:val="single"/>
        </w:rPr>
        <w:t>aways</w:t>
      </w:r>
      <w:proofErr w:type="spellEnd"/>
      <w:r w:rsidRPr="00E87B31">
        <w:rPr>
          <w:u w:val="single"/>
        </w:rPr>
        <w:t>:</w:t>
      </w:r>
      <w:r>
        <w:t xml:space="preserve"> </w:t>
      </w:r>
      <w:r w:rsidRPr="003A79C8">
        <w:t>There are four essential elements of a good bonus program. First, you need clear goals that people understand and accept because they helped set them. Second, you need to provide frequent (weekly or even daily) feedback. Third, you need to give people an opportunity to work with one another to achieve the goals. Fourth, you need targets that require some effort -- the payoff shouldn't be a sure thing.</w:t>
      </w:r>
      <w:r>
        <w:t xml:space="preserve"> Along the way, </w:t>
      </w:r>
      <w:r w:rsidRPr="003A79C8">
        <w:t>you're providing on-the-job training in basic business skills. Every year, you have an opportunity to introduce a new ratio or concept and let people go after it, learning in the process how their actions affect their job security.</w:t>
      </w:r>
    </w:p>
    <w:p w:rsidR="00E95178" w:rsidRDefault="00E95178" w:rsidP="00E95178">
      <w:pPr>
        <w:pStyle w:val="ListParagraph"/>
        <w:numPr>
          <w:ilvl w:val="0"/>
          <w:numId w:val="10"/>
        </w:numPr>
        <w:spacing w:after="0" w:line="240" w:lineRule="auto"/>
      </w:pPr>
      <w:r>
        <w:t xml:space="preserve">Tech.co: </w:t>
      </w:r>
      <w:hyperlink r:id="rId11" w:history="1">
        <w:r w:rsidRPr="00EA54CE">
          <w:rPr>
            <w:rStyle w:val="Hyperlink"/>
          </w:rPr>
          <w:t>Slicing Pie: A Guide to Dividing Up Early-Stage Startup Equity</w:t>
        </w:r>
      </w:hyperlink>
    </w:p>
    <w:p w:rsidR="00E95178" w:rsidRDefault="00E95178" w:rsidP="00E95178">
      <w:pPr>
        <w:pStyle w:val="ListParagraph"/>
        <w:numPr>
          <w:ilvl w:val="1"/>
          <w:numId w:val="10"/>
        </w:numPr>
        <w:spacing w:after="0" w:line="240" w:lineRule="auto"/>
      </w:pPr>
      <w:r w:rsidRPr="00D07178">
        <w:rPr>
          <w:u w:val="single"/>
        </w:rPr>
        <w:t>Length</w:t>
      </w:r>
      <w:r>
        <w:t>: Short online article (he has a book and website of the same title)</w:t>
      </w:r>
    </w:p>
    <w:p w:rsidR="00E95178" w:rsidRDefault="00E95178" w:rsidP="00E95178">
      <w:pPr>
        <w:pStyle w:val="ListParagraph"/>
        <w:numPr>
          <w:ilvl w:val="1"/>
          <w:numId w:val="10"/>
        </w:numPr>
        <w:spacing w:after="0" w:line="240" w:lineRule="auto"/>
      </w:pPr>
      <w:r w:rsidRPr="00D07178">
        <w:rPr>
          <w:u w:val="single"/>
        </w:rPr>
        <w:t>Summary</w:t>
      </w:r>
      <w:r>
        <w:t>: It can be difficult for startups to find guidance about the most equitable way to divide equity among founders and contributors, resulting in a great deal of frustration as well as potentially hurting the company’s chance of survival.</w:t>
      </w:r>
    </w:p>
    <w:p w:rsidR="00E95178" w:rsidRDefault="00E95178" w:rsidP="00E95178">
      <w:pPr>
        <w:pStyle w:val="ListParagraph"/>
        <w:numPr>
          <w:ilvl w:val="1"/>
          <w:numId w:val="10"/>
        </w:numPr>
        <w:spacing w:after="0" w:line="240" w:lineRule="auto"/>
      </w:pPr>
      <w:r w:rsidRPr="00D07178">
        <w:rPr>
          <w:u w:val="single"/>
        </w:rPr>
        <w:t>Relevance for early stage entrepreneurs</w:t>
      </w:r>
      <w:r>
        <w:t>: High</w:t>
      </w:r>
    </w:p>
    <w:p w:rsidR="00E95178" w:rsidRDefault="00E95178" w:rsidP="00E95178">
      <w:pPr>
        <w:pStyle w:val="ListParagraph"/>
        <w:numPr>
          <w:ilvl w:val="1"/>
          <w:numId w:val="10"/>
        </w:numPr>
        <w:spacing w:after="0" w:line="240" w:lineRule="auto"/>
      </w:pPr>
      <w:r w:rsidRPr="00D07178">
        <w:rPr>
          <w:u w:val="single"/>
        </w:rPr>
        <w:t>Specific take-</w:t>
      </w:r>
      <w:proofErr w:type="spellStart"/>
      <w:r w:rsidRPr="00D07178">
        <w:rPr>
          <w:u w:val="single"/>
        </w:rPr>
        <w:t>aways</w:t>
      </w:r>
      <w:proofErr w:type="spellEnd"/>
      <w:r>
        <w:t xml:space="preserve">: Partners in an early stage venture should create a set of ground rules </w:t>
      </w:r>
      <w:r w:rsidRPr="004C5343">
        <w:t>for allocating equity on a rolling basis based on the relative value of the co</w:t>
      </w:r>
      <w:r>
        <w:t xml:space="preserve">ntributions of the participants (called a Grunt Fund). These rules must account for what happens if someone leaves in various scenarios. </w:t>
      </w:r>
    </w:p>
    <w:sectPr w:rsidR="00E95178" w:rsidSect="0012695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E0F81"/>
    <w:multiLevelType w:val="hybridMultilevel"/>
    <w:tmpl w:val="E5F0A3F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18D35F6"/>
    <w:multiLevelType w:val="hybridMultilevel"/>
    <w:tmpl w:val="46C46478"/>
    <w:lvl w:ilvl="0" w:tplc="A10820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A61B9B"/>
    <w:multiLevelType w:val="hybridMultilevel"/>
    <w:tmpl w:val="723A7B8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9A412A"/>
    <w:multiLevelType w:val="hybridMultilevel"/>
    <w:tmpl w:val="F5E871AA"/>
    <w:lvl w:ilvl="0" w:tplc="A6162B14">
      <w:start w:val="2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D004F"/>
    <w:multiLevelType w:val="hybridMultilevel"/>
    <w:tmpl w:val="4F34F7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35586D"/>
    <w:multiLevelType w:val="hybridMultilevel"/>
    <w:tmpl w:val="43C8B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225C2"/>
    <w:multiLevelType w:val="hybridMultilevel"/>
    <w:tmpl w:val="5F383C6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40273B"/>
    <w:multiLevelType w:val="hybridMultilevel"/>
    <w:tmpl w:val="6DA4D0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C15690E"/>
    <w:multiLevelType w:val="hybridMultilevel"/>
    <w:tmpl w:val="FC248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A35243"/>
    <w:multiLevelType w:val="hybridMultilevel"/>
    <w:tmpl w:val="C446504A"/>
    <w:lvl w:ilvl="0" w:tplc="F34A1CF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621624"/>
    <w:multiLevelType w:val="hybridMultilevel"/>
    <w:tmpl w:val="DB18B60C"/>
    <w:lvl w:ilvl="0" w:tplc="9540407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BC288D"/>
    <w:multiLevelType w:val="hybridMultilevel"/>
    <w:tmpl w:val="DA4C4A8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180663F"/>
    <w:multiLevelType w:val="hybridMultilevel"/>
    <w:tmpl w:val="7272DF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A220DAC"/>
    <w:multiLevelType w:val="hybridMultilevel"/>
    <w:tmpl w:val="72CA37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66C7B4F"/>
    <w:multiLevelType w:val="hybridMultilevel"/>
    <w:tmpl w:val="B324215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4"/>
  </w:num>
  <w:num w:numId="3">
    <w:abstractNumId w:val="11"/>
  </w:num>
  <w:num w:numId="4">
    <w:abstractNumId w:val="14"/>
  </w:num>
  <w:num w:numId="5">
    <w:abstractNumId w:val="0"/>
  </w:num>
  <w:num w:numId="6">
    <w:abstractNumId w:val="3"/>
  </w:num>
  <w:num w:numId="7">
    <w:abstractNumId w:val="1"/>
  </w:num>
  <w:num w:numId="8">
    <w:abstractNumId w:val="5"/>
  </w:num>
  <w:num w:numId="9">
    <w:abstractNumId w:val="2"/>
  </w:num>
  <w:num w:numId="10">
    <w:abstractNumId w:val="12"/>
  </w:num>
  <w:num w:numId="11">
    <w:abstractNumId w:val="8"/>
  </w:num>
  <w:num w:numId="12">
    <w:abstractNumId w:val="13"/>
  </w:num>
  <w:num w:numId="13">
    <w:abstractNumId w:val="10"/>
  </w:num>
  <w:num w:numId="14">
    <w:abstractNumId w:val="6"/>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55"/>
    <w:rsid w:val="00011C84"/>
    <w:rsid w:val="0006327B"/>
    <w:rsid w:val="00081CD6"/>
    <w:rsid w:val="00094205"/>
    <w:rsid w:val="000B763E"/>
    <w:rsid w:val="000C1B90"/>
    <w:rsid w:val="000C6816"/>
    <w:rsid w:val="000E31E5"/>
    <w:rsid w:val="000E7474"/>
    <w:rsid w:val="00100276"/>
    <w:rsid w:val="00126955"/>
    <w:rsid w:val="0012753E"/>
    <w:rsid w:val="00144260"/>
    <w:rsid w:val="001818C5"/>
    <w:rsid w:val="0019062E"/>
    <w:rsid w:val="001A4291"/>
    <w:rsid w:val="001B4C2F"/>
    <w:rsid w:val="001C69E6"/>
    <w:rsid w:val="001D55F5"/>
    <w:rsid w:val="001D5F05"/>
    <w:rsid w:val="001E14FC"/>
    <w:rsid w:val="001F4A35"/>
    <w:rsid w:val="00213857"/>
    <w:rsid w:val="00221B17"/>
    <w:rsid w:val="00221C59"/>
    <w:rsid w:val="00222126"/>
    <w:rsid w:val="00243BA9"/>
    <w:rsid w:val="00247EDF"/>
    <w:rsid w:val="00261A57"/>
    <w:rsid w:val="00296D04"/>
    <w:rsid w:val="002B210E"/>
    <w:rsid w:val="002D5152"/>
    <w:rsid w:val="002D6DF2"/>
    <w:rsid w:val="002E091B"/>
    <w:rsid w:val="003006D5"/>
    <w:rsid w:val="00301131"/>
    <w:rsid w:val="00310A15"/>
    <w:rsid w:val="00311408"/>
    <w:rsid w:val="0031681A"/>
    <w:rsid w:val="00352799"/>
    <w:rsid w:val="0035576B"/>
    <w:rsid w:val="0038711E"/>
    <w:rsid w:val="003C2E19"/>
    <w:rsid w:val="003C75C0"/>
    <w:rsid w:val="003D2523"/>
    <w:rsid w:val="003F29BA"/>
    <w:rsid w:val="003F79BD"/>
    <w:rsid w:val="00426642"/>
    <w:rsid w:val="00431D5C"/>
    <w:rsid w:val="004346C4"/>
    <w:rsid w:val="004633C8"/>
    <w:rsid w:val="00464A03"/>
    <w:rsid w:val="00465215"/>
    <w:rsid w:val="004676D9"/>
    <w:rsid w:val="00485BCF"/>
    <w:rsid w:val="004D7403"/>
    <w:rsid w:val="004F77DD"/>
    <w:rsid w:val="005146AD"/>
    <w:rsid w:val="0051649A"/>
    <w:rsid w:val="00533953"/>
    <w:rsid w:val="0053593B"/>
    <w:rsid w:val="0054174E"/>
    <w:rsid w:val="00554347"/>
    <w:rsid w:val="005572B7"/>
    <w:rsid w:val="005731C9"/>
    <w:rsid w:val="00585060"/>
    <w:rsid w:val="005851F9"/>
    <w:rsid w:val="005A03BF"/>
    <w:rsid w:val="005A5D00"/>
    <w:rsid w:val="005B24A2"/>
    <w:rsid w:val="005C21DE"/>
    <w:rsid w:val="005D5F89"/>
    <w:rsid w:val="005E3A41"/>
    <w:rsid w:val="005E4B05"/>
    <w:rsid w:val="005F167A"/>
    <w:rsid w:val="00604B24"/>
    <w:rsid w:val="0063524A"/>
    <w:rsid w:val="006413AE"/>
    <w:rsid w:val="00647106"/>
    <w:rsid w:val="00660549"/>
    <w:rsid w:val="00670E99"/>
    <w:rsid w:val="00670FE5"/>
    <w:rsid w:val="00672FEB"/>
    <w:rsid w:val="00691AE5"/>
    <w:rsid w:val="006C0796"/>
    <w:rsid w:val="006F6EBA"/>
    <w:rsid w:val="007072BE"/>
    <w:rsid w:val="00733D6C"/>
    <w:rsid w:val="0074461F"/>
    <w:rsid w:val="00764586"/>
    <w:rsid w:val="00765D39"/>
    <w:rsid w:val="00791E6E"/>
    <w:rsid w:val="007C19C8"/>
    <w:rsid w:val="007F5723"/>
    <w:rsid w:val="0080188B"/>
    <w:rsid w:val="00804339"/>
    <w:rsid w:val="00804ABC"/>
    <w:rsid w:val="00816500"/>
    <w:rsid w:val="00825C1C"/>
    <w:rsid w:val="0083675D"/>
    <w:rsid w:val="00852319"/>
    <w:rsid w:val="00865CC2"/>
    <w:rsid w:val="00885371"/>
    <w:rsid w:val="008C5384"/>
    <w:rsid w:val="008E45FA"/>
    <w:rsid w:val="009248CF"/>
    <w:rsid w:val="009257FE"/>
    <w:rsid w:val="00943BB9"/>
    <w:rsid w:val="009520B7"/>
    <w:rsid w:val="00957223"/>
    <w:rsid w:val="009918E4"/>
    <w:rsid w:val="009A6617"/>
    <w:rsid w:val="009B2161"/>
    <w:rsid w:val="009B7688"/>
    <w:rsid w:val="009E2FC2"/>
    <w:rsid w:val="009F429C"/>
    <w:rsid w:val="00A15EF2"/>
    <w:rsid w:val="00A24BCE"/>
    <w:rsid w:val="00A413FD"/>
    <w:rsid w:val="00A46FB9"/>
    <w:rsid w:val="00A766D8"/>
    <w:rsid w:val="00A87BEB"/>
    <w:rsid w:val="00A90B50"/>
    <w:rsid w:val="00AA2D9E"/>
    <w:rsid w:val="00AA4222"/>
    <w:rsid w:val="00B15921"/>
    <w:rsid w:val="00B32B6D"/>
    <w:rsid w:val="00B32BD4"/>
    <w:rsid w:val="00B34096"/>
    <w:rsid w:val="00B45F0C"/>
    <w:rsid w:val="00B47430"/>
    <w:rsid w:val="00B608C0"/>
    <w:rsid w:val="00B61144"/>
    <w:rsid w:val="00B65BBC"/>
    <w:rsid w:val="00B820A9"/>
    <w:rsid w:val="00B82AD6"/>
    <w:rsid w:val="00B9053F"/>
    <w:rsid w:val="00B96754"/>
    <w:rsid w:val="00BE0CD6"/>
    <w:rsid w:val="00BE1F06"/>
    <w:rsid w:val="00C22732"/>
    <w:rsid w:val="00C44B18"/>
    <w:rsid w:val="00C529EE"/>
    <w:rsid w:val="00CA0363"/>
    <w:rsid w:val="00CC48AD"/>
    <w:rsid w:val="00CD00BD"/>
    <w:rsid w:val="00CF75CC"/>
    <w:rsid w:val="00D0422D"/>
    <w:rsid w:val="00D17C99"/>
    <w:rsid w:val="00D313EE"/>
    <w:rsid w:val="00D4475C"/>
    <w:rsid w:val="00D5418B"/>
    <w:rsid w:val="00E01723"/>
    <w:rsid w:val="00E04859"/>
    <w:rsid w:val="00E108C6"/>
    <w:rsid w:val="00E22903"/>
    <w:rsid w:val="00E43096"/>
    <w:rsid w:val="00E95178"/>
    <w:rsid w:val="00EC2933"/>
    <w:rsid w:val="00ED72E0"/>
    <w:rsid w:val="00EE1EA4"/>
    <w:rsid w:val="00EF5575"/>
    <w:rsid w:val="00F03716"/>
    <w:rsid w:val="00F13ED5"/>
    <w:rsid w:val="00F17A16"/>
    <w:rsid w:val="00F31221"/>
    <w:rsid w:val="00F415C8"/>
    <w:rsid w:val="00F62E80"/>
    <w:rsid w:val="00FC5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639A8-7307-499D-94AB-C9BD1CDDF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69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6955"/>
    <w:rPr>
      <w:rFonts w:ascii="Tahoma" w:hAnsi="Tahoma" w:cs="Tahoma"/>
      <w:sz w:val="16"/>
      <w:szCs w:val="16"/>
    </w:rPr>
  </w:style>
  <w:style w:type="paragraph" w:styleId="ListParagraph">
    <w:name w:val="List Paragraph"/>
    <w:basedOn w:val="Normal"/>
    <w:uiPriority w:val="34"/>
    <w:qFormat/>
    <w:rsid w:val="00670E99"/>
    <w:pPr>
      <w:ind w:left="720"/>
      <w:contextualSpacing/>
    </w:pPr>
  </w:style>
  <w:style w:type="character" w:styleId="Hyperlink">
    <w:name w:val="Hyperlink"/>
    <w:basedOn w:val="DefaultParagraphFont"/>
    <w:uiPriority w:val="99"/>
    <w:unhideWhenUsed/>
    <w:rsid w:val="00660549"/>
    <w:rPr>
      <w:color w:val="0000FF" w:themeColor="hyperlink"/>
      <w:u w:val="single"/>
    </w:rPr>
  </w:style>
  <w:style w:type="table" w:styleId="TableGrid">
    <w:name w:val="Table Grid"/>
    <w:basedOn w:val="TableNormal"/>
    <w:uiPriority w:val="59"/>
    <w:rsid w:val="00EC2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A5D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enefits.com/blog/10-ways-to-promote-a-healthy-work-life-balanc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c.com/guides/2010/05/wellness-program.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ntrepreneur.com/article/80158" TargetMode="External"/><Relationship Id="rId11" Type="http://schemas.openxmlformats.org/officeDocument/2006/relationships/hyperlink" Target="http://tech.co/slicing-pie-dividing-up-early-stage-startup-equity-2012-09" TargetMode="External"/><Relationship Id="rId5" Type="http://schemas.openxmlformats.org/officeDocument/2006/relationships/image" Target="media/image1.png"/><Relationship Id="rId10" Type="http://schemas.openxmlformats.org/officeDocument/2006/relationships/hyperlink" Target="http://www.inc.com/magazine/19961101/1864.html" TargetMode="External"/><Relationship Id="rId4" Type="http://schemas.openxmlformats.org/officeDocument/2006/relationships/webSettings" Target="webSettings.xml"/><Relationship Id="rId9" Type="http://schemas.openxmlformats.org/officeDocument/2006/relationships/hyperlink" Target="http://rady.ucsd.edu/beyster/startup-toolkit/equitycomp/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3</Pages>
  <Words>1036</Words>
  <Characters>5907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AC Broughton</cp:lastModifiedBy>
  <cp:revision>40</cp:revision>
  <cp:lastPrinted>2016-07-12T18:57:00Z</cp:lastPrinted>
  <dcterms:created xsi:type="dcterms:W3CDTF">2016-10-16T22:17:00Z</dcterms:created>
  <dcterms:modified xsi:type="dcterms:W3CDTF">2016-12-09T21:47:00Z</dcterms:modified>
</cp:coreProperties>
</file>